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center" w:tblpY="-13"/>
        <w:tblW w:w="8075" w:type="dxa"/>
        <w:tblLayout w:type="fixed"/>
        <w:tblLook w:val="04A0" w:firstRow="1" w:lastRow="0" w:firstColumn="1" w:lastColumn="0" w:noHBand="0" w:noVBand="1"/>
      </w:tblPr>
      <w:tblGrid>
        <w:gridCol w:w="849"/>
        <w:gridCol w:w="709"/>
        <w:gridCol w:w="5383"/>
        <w:gridCol w:w="1128"/>
        <w:gridCol w:w="6"/>
      </w:tblGrid>
      <w:tr w:rsidR="001A7387" w:rsidRPr="001A7387" w:rsidTr="001A7387">
        <w:trPr>
          <w:trHeight w:val="416"/>
        </w:trPr>
        <w:tc>
          <w:tcPr>
            <w:tcW w:w="8075" w:type="dxa"/>
            <w:gridSpan w:val="5"/>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SECRETARÍA DE GOBIERNO</w:t>
            </w:r>
          </w:p>
        </w:tc>
      </w:tr>
      <w:tr w:rsidR="001A7387" w:rsidRPr="001A7387" w:rsidTr="001A7387">
        <w:trPr>
          <w:trHeight w:val="284"/>
        </w:trPr>
        <w:tc>
          <w:tcPr>
            <w:tcW w:w="8075" w:type="dxa"/>
            <w:gridSpan w:val="5"/>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TABLA DE APLICABILIDAD DE LAS OBLIGACIONES DE TRANSPARENCIA</w:t>
            </w:r>
          </w:p>
        </w:tc>
      </w:tr>
      <w:tr w:rsidR="001A7387" w:rsidRPr="001A7387" w:rsidTr="001A7387">
        <w:trPr>
          <w:trHeight w:val="284"/>
        </w:trPr>
        <w:tc>
          <w:tcPr>
            <w:tcW w:w="8075" w:type="dxa"/>
            <w:gridSpan w:val="5"/>
            <w:shd w:val="clear" w:color="auto" w:fill="D9D9D9" w:themeFill="background1" w:themeFillShade="D9"/>
          </w:tcPr>
          <w:p w:rsidR="001A7387" w:rsidRPr="001A7387" w:rsidRDefault="001A7387" w:rsidP="001A7387">
            <w:pPr>
              <w:spacing w:after="200" w:line="276" w:lineRule="auto"/>
              <w:jc w:val="both"/>
              <w:rPr>
                <w:b/>
                <w:sz w:val="16"/>
                <w:szCs w:val="16"/>
              </w:rPr>
            </w:pPr>
            <w:r w:rsidRPr="001A7387">
              <w:rPr>
                <w:b/>
                <w:sz w:val="16"/>
                <w:szCs w:val="16"/>
              </w:rPr>
              <w:t>ARTÍCULO 91. Los Sujetos Obligados deberán publicar en Plataforma Nacional y en sus portales de internet, en forma permanente y actualizada, con acceso al público y mediante procesos informáticos sencillos y de fácil comprensión, y de acuerdo con sus facultades, atribuciones, funciones u objeto social, según corresponda, la información de carácter común, por lo menos, de los temas, documentos y políticas que a continuación se señalan:</w:t>
            </w:r>
          </w:p>
        </w:tc>
      </w:tr>
      <w:tr w:rsidR="001A7387" w:rsidRPr="001A7387" w:rsidTr="001A7387">
        <w:trPr>
          <w:gridAfter w:val="1"/>
          <w:wAfter w:w="6" w:type="dxa"/>
        </w:trPr>
        <w:tc>
          <w:tcPr>
            <w:tcW w:w="849" w:type="dxa"/>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 xml:space="preserve">Fracción </w:t>
            </w:r>
          </w:p>
        </w:tc>
        <w:tc>
          <w:tcPr>
            <w:tcW w:w="709" w:type="dxa"/>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Inciso</w:t>
            </w:r>
          </w:p>
        </w:tc>
        <w:tc>
          <w:tcPr>
            <w:tcW w:w="5383" w:type="dxa"/>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Contenido de la Fracción</w:t>
            </w:r>
          </w:p>
        </w:tc>
        <w:tc>
          <w:tcPr>
            <w:tcW w:w="1128" w:type="dxa"/>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Aplicabilidad</w:t>
            </w:r>
          </w:p>
        </w:tc>
      </w:tr>
      <w:tr w:rsidR="001A7387" w:rsidRPr="001A7387" w:rsidTr="00EB6A0B">
        <w:trPr>
          <w:gridAfter w:val="1"/>
          <w:wAfter w:w="6" w:type="dxa"/>
          <w:trHeight w:val="485"/>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El marco normativo del sujeto obligado, en el que deberán incluirse leyes, códigos, reglamentos, decretos de creación, manuales administrativos, reglas de operación criterios, políticas, entre otros.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bookmarkStart w:id="0" w:name="_GoBack"/>
        <w:bookmarkEnd w:id="0"/>
      </w:tr>
      <w:tr w:rsidR="001A7387" w:rsidRPr="001A7387" w:rsidTr="00EB6A0B">
        <w:trPr>
          <w:gridAfter w:val="1"/>
          <w:wAfter w:w="6" w:type="dxa"/>
          <w:trHeight w:val="485"/>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67"/>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III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Facultades de cada Área</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31"/>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Los indicadores relacionados con temas de interés público o trascendencia social que conforme a sus funciones, deban establecer;</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83"/>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VI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VI. Los indicadores que permitan rendir cuenta de sus objetivos y resultados, así como indicadores de impacto y evaluación de los proyectos, procesos y toda otra atribución de funciones;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38"/>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VII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48"/>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VIII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Remuneraciones bruta y neta de todos los servidores públicos de base y de confianza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488"/>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IX</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Los gastos de representación y viáticos, así como el objeto e informe de comisión correspondiente;</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29"/>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El número total de las plazas y del personal de base y confianza, especificando el total de las vacantes, por nivel de puesto, para cada unidad administrativa;</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67"/>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Las contrataciones de servicios profesionales por honorarios, señalando los nombres de los prestadores de servicios, los servicios contratados, el monto de los honorarios y el período de contratación, y en su caso, los procesos de evaluación a los que se sujeta la vigencia del contrato o su recisión.</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49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lastRenderedPageBreak/>
              <w:t>XII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La información en versión pública de las declaraciones patrimoniales, declaraciones de no conflicto de intereses y declaraciones fiscales de los últimos 5 años, de los servidores públicos que determine la normatividad aplicable;</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p w:rsidR="001A7387" w:rsidRPr="00EB6A0B" w:rsidRDefault="001A7387" w:rsidP="00DE532E">
            <w:pPr>
              <w:spacing w:after="200" w:line="276" w:lineRule="auto"/>
              <w:jc w:val="center"/>
              <w:rPr>
                <w:sz w:val="16"/>
                <w:szCs w:val="16"/>
              </w:rPr>
            </w:pPr>
          </w:p>
        </w:tc>
      </w:tr>
      <w:tr w:rsidR="001A7387" w:rsidRPr="001A7387" w:rsidTr="00EB6A0B">
        <w:trPr>
          <w:gridAfter w:val="1"/>
          <w:wAfter w:w="6" w:type="dxa"/>
          <w:trHeight w:val="444"/>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XIII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El domicilio de la Unidad de Transparencia, además de la dirección electrónica donde podrán recibirse las solicitudes para obtener la información;</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87"/>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XIV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Concursos, Convocatorias, Invitaciones y/o avisos para ocupar cargos públicos en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XV</w:t>
            </w:r>
          </w:p>
        </w:tc>
        <w:tc>
          <w:tcPr>
            <w:tcW w:w="709" w:type="dxa"/>
            <w:shd w:val="clear" w:color="auto" w:fill="auto"/>
            <w:vAlign w:val="center"/>
          </w:tcPr>
          <w:p w:rsidR="001A7387" w:rsidRPr="00EB6A0B" w:rsidRDefault="001A7387" w:rsidP="00EB6A0B">
            <w:pPr>
              <w:spacing w:after="200" w:line="276" w:lineRule="auto"/>
              <w:rPr>
                <w:sz w:val="16"/>
                <w:szCs w:val="16"/>
              </w:rPr>
            </w:pPr>
          </w:p>
          <w:p w:rsidR="001A7387" w:rsidRPr="00EB6A0B" w:rsidRDefault="001A7387" w:rsidP="00EB6A0B">
            <w:pPr>
              <w:spacing w:after="200" w:line="276" w:lineRule="auto"/>
              <w:rPr>
                <w:sz w:val="16"/>
                <w:szCs w:val="16"/>
              </w:rPr>
            </w:pPr>
            <w:r w:rsidRPr="00EB6A0B">
              <w:rPr>
                <w:sz w:val="16"/>
                <w:szCs w:val="16"/>
              </w:rPr>
              <w:t>(a-q)</w:t>
            </w: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Programas sociales desarrollados</w:t>
            </w:r>
          </w:p>
          <w:p w:rsidR="001A7387" w:rsidRPr="00EB6A0B" w:rsidRDefault="001A7387" w:rsidP="00EB6A0B">
            <w:pPr>
              <w:spacing w:after="200" w:line="276" w:lineRule="auto"/>
              <w:rPr>
                <w:sz w:val="16"/>
                <w:szCs w:val="16"/>
              </w:rPr>
            </w:pPr>
            <w:r w:rsidRPr="00EB6A0B">
              <w:rPr>
                <w:sz w:val="16"/>
                <w:szCs w:val="16"/>
              </w:rPr>
              <w:t>b. Padrón de beneficiarios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DE497E" w:rsidP="00DE532E">
            <w:pPr>
              <w:spacing w:after="200" w:line="276" w:lineRule="auto"/>
              <w:jc w:val="center"/>
              <w:rPr>
                <w:sz w:val="16"/>
                <w:szCs w:val="16"/>
              </w:rPr>
            </w:pPr>
            <w:r w:rsidRPr="00EB6A0B">
              <w:rPr>
                <w:sz w:val="16"/>
                <w:szCs w:val="16"/>
              </w:rPr>
              <w:t xml:space="preserve">No </w:t>
            </w:r>
            <w:r w:rsidR="001A7387" w:rsidRPr="00EB6A0B">
              <w:rPr>
                <w:sz w:val="16"/>
                <w:szCs w:val="16"/>
              </w:rPr>
              <w:t>Aplica</w:t>
            </w:r>
          </w:p>
        </w:tc>
      </w:tr>
      <w:tr w:rsidR="001A7387" w:rsidRPr="001A7387" w:rsidTr="00EB6A0B">
        <w:trPr>
          <w:gridAfter w:val="1"/>
          <w:wAfter w:w="6" w:type="dxa"/>
          <w:trHeight w:val="593"/>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XVI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Normatividad laboral</w:t>
            </w:r>
          </w:p>
          <w:p w:rsidR="001A7387" w:rsidRPr="00EB6A0B" w:rsidRDefault="001A7387" w:rsidP="00EB6A0B">
            <w:pPr>
              <w:spacing w:after="200" w:line="276" w:lineRule="auto"/>
              <w:rPr>
                <w:sz w:val="16"/>
                <w:szCs w:val="16"/>
              </w:rPr>
            </w:pPr>
            <w:r w:rsidRPr="00EB6A0B">
              <w:rPr>
                <w:sz w:val="16"/>
                <w:szCs w:val="16"/>
              </w:rPr>
              <w:t>b. Recursos públicos que la SEGOB entregó a sindicatos.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XVII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Información curricular y las sanciones administrativas definitivas de los servidores públicos y/o personas que desempeñen un empleo, cargo o comisión.</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XVIII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El listado de servidores públicos con sanciones administrativas definitivas, especificando la causa de sanción y la disposición;</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XIX</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Servicios que ofrecen señalando los requisitos para acceder a ellos, con guías de solicitud, costos, tabuladores y toda información relativa al servicio vigente;</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Trámites requisitos y formatos que ofrecen, con guías de solicitud, costos, tabuladores, el tiempo de respuesta para satisfacer las solicitudes de los mismos y toda información relativa al servicio vigente;</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14"/>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XXI</w:t>
            </w:r>
          </w:p>
        </w:tc>
        <w:tc>
          <w:tcPr>
            <w:tcW w:w="709" w:type="dxa"/>
            <w:shd w:val="clear" w:color="auto" w:fill="auto"/>
            <w:vAlign w:val="center"/>
          </w:tcPr>
          <w:p w:rsidR="001A7387" w:rsidRPr="00EB6A0B" w:rsidRDefault="001A7387" w:rsidP="00EB6A0B">
            <w:pPr>
              <w:spacing w:after="200" w:line="276" w:lineRule="auto"/>
              <w:rPr>
                <w:sz w:val="16"/>
                <w:szCs w:val="16"/>
              </w:rPr>
            </w:pPr>
          </w:p>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Información financie</w:t>
            </w:r>
            <w:r w:rsidR="00054946" w:rsidRPr="00EB6A0B">
              <w:rPr>
                <w:sz w:val="16"/>
                <w:szCs w:val="16"/>
              </w:rPr>
              <w:t>ra de presupuesto asignado anua</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La información relativa a la deuda pública, en términos de la normatividad aplicable;</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XXIII</w:t>
            </w:r>
          </w:p>
        </w:tc>
        <w:tc>
          <w:tcPr>
            <w:tcW w:w="709" w:type="dxa"/>
            <w:shd w:val="clear" w:color="auto" w:fill="auto"/>
            <w:vAlign w:val="center"/>
          </w:tcPr>
          <w:p w:rsidR="001A7387" w:rsidRPr="00EB6A0B" w:rsidRDefault="001A7387" w:rsidP="00EB6A0B">
            <w:pPr>
              <w:spacing w:after="200" w:line="276" w:lineRule="auto"/>
              <w:rPr>
                <w:sz w:val="16"/>
                <w:szCs w:val="16"/>
              </w:rPr>
            </w:pPr>
          </w:p>
          <w:p w:rsidR="001A7387" w:rsidRPr="00EB6A0B" w:rsidRDefault="001A7387" w:rsidP="00EB6A0B">
            <w:pPr>
              <w:spacing w:after="200" w:line="276" w:lineRule="auto"/>
              <w:rPr>
                <w:sz w:val="16"/>
                <w:szCs w:val="16"/>
              </w:rPr>
            </w:pPr>
          </w:p>
          <w:p w:rsidR="001A7387" w:rsidRPr="00EB6A0B" w:rsidRDefault="001A7387" w:rsidP="00EB6A0B">
            <w:pPr>
              <w:spacing w:after="200" w:line="276" w:lineRule="auto"/>
              <w:rPr>
                <w:sz w:val="16"/>
                <w:szCs w:val="16"/>
              </w:rPr>
            </w:pPr>
          </w:p>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Programa anual de comunicación social  o equivalentes.</w:t>
            </w:r>
          </w:p>
          <w:p w:rsidR="001A7387" w:rsidRPr="00EB6A0B" w:rsidRDefault="001A7387" w:rsidP="00EB6A0B">
            <w:pPr>
              <w:spacing w:after="200" w:line="276" w:lineRule="auto"/>
              <w:rPr>
                <w:sz w:val="16"/>
                <w:szCs w:val="16"/>
              </w:rPr>
            </w:pPr>
            <w:r w:rsidRPr="00EB6A0B">
              <w:rPr>
                <w:sz w:val="16"/>
                <w:szCs w:val="16"/>
              </w:rPr>
              <w:t>b. Erogación de recursos  por contratación de servicios de impresión, difusión y publicidad de la SEGOB.</w:t>
            </w:r>
          </w:p>
          <w:p w:rsidR="001A7387" w:rsidRPr="00EB6A0B" w:rsidRDefault="001A7387" w:rsidP="00EB6A0B">
            <w:pPr>
              <w:spacing w:after="200" w:line="276" w:lineRule="auto"/>
              <w:rPr>
                <w:sz w:val="16"/>
                <w:szCs w:val="16"/>
              </w:rPr>
            </w:pPr>
            <w:r w:rsidRPr="00EB6A0B">
              <w:rPr>
                <w:sz w:val="16"/>
                <w:szCs w:val="16"/>
              </w:rPr>
              <w:t>c. Utilización de los tiempos oficiales: tiempo de Estado y tiempo fiscal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XXIV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Resultado de auditorías realizadas a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Resultados de la dictaminarían  de los estados financieros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lastRenderedPageBreak/>
              <w:t>XXVI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Personas físicas o morales a quienes la SEGOB asigna o permite usar recursos públicos.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XXVII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Las concesiones, contratos, convenios, permisos, licencias o autorizaciones otorgadas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XXVIII</w:t>
            </w:r>
          </w:p>
        </w:tc>
        <w:tc>
          <w:tcPr>
            <w:tcW w:w="709" w:type="dxa"/>
            <w:shd w:val="clear" w:color="auto" w:fill="auto"/>
            <w:vAlign w:val="center"/>
          </w:tcPr>
          <w:p w:rsidR="001A7387" w:rsidRPr="00EB6A0B" w:rsidRDefault="001A7387" w:rsidP="00EB6A0B">
            <w:pPr>
              <w:spacing w:after="200" w:line="276" w:lineRule="auto"/>
              <w:rPr>
                <w:sz w:val="16"/>
                <w:szCs w:val="16"/>
              </w:rPr>
            </w:pPr>
            <w:r w:rsidRPr="00EB6A0B">
              <w:rPr>
                <w:sz w:val="16"/>
                <w:szCs w:val="16"/>
              </w:rPr>
              <w:t>(a-d)</w:t>
            </w: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Resultados de Procedimientos de Licitación Pública e Invitación restringida realizados por la SEGOB.</w:t>
            </w:r>
          </w:p>
          <w:p w:rsidR="001A7387" w:rsidRPr="00EB6A0B" w:rsidRDefault="001A7387" w:rsidP="00EB6A0B">
            <w:pPr>
              <w:spacing w:after="200" w:line="276" w:lineRule="auto"/>
              <w:rPr>
                <w:sz w:val="16"/>
                <w:szCs w:val="16"/>
              </w:rPr>
            </w:pPr>
            <w:r w:rsidRPr="00EB6A0B">
              <w:rPr>
                <w:sz w:val="16"/>
                <w:szCs w:val="16"/>
              </w:rPr>
              <w:t>b. Resultados de procedimientos de adjudicación directa realizados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XXIX</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Informes emitidos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w:t>
            </w:r>
            <w:r w:rsidR="00DE497E" w:rsidRPr="00EB6A0B">
              <w:rPr>
                <w:sz w:val="16"/>
                <w:szCs w:val="16"/>
              </w:rPr>
              <w:t>X</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Estadísticas generadas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XXXI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Informe de avances programáticos o presupuestales, balances generales y su estado financiero;</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448"/>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XXXII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Padrón de proveedores y contratistas;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XXXIII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Convenios de coordinación, de concertación con el sector social o privado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XXXIV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Inventario de bienes inmuebles</w:t>
            </w:r>
          </w:p>
          <w:p w:rsidR="001A7387" w:rsidRPr="00EB6A0B" w:rsidRDefault="001A7387" w:rsidP="00EB6A0B">
            <w:pPr>
              <w:spacing w:after="200" w:line="276" w:lineRule="auto"/>
              <w:rPr>
                <w:sz w:val="16"/>
                <w:szCs w:val="16"/>
              </w:rPr>
            </w:pPr>
            <w:r w:rsidRPr="00EB6A0B">
              <w:rPr>
                <w:sz w:val="16"/>
                <w:szCs w:val="16"/>
              </w:rPr>
              <w:t>b. Inventario de altas practicadas a bienes inmuebles</w:t>
            </w:r>
          </w:p>
          <w:p w:rsidR="001A7387" w:rsidRPr="00EB6A0B" w:rsidRDefault="001A7387" w:rsidP="00EB6A0B">
            <w:pPr>
              <w:spacing w:after="200" w:line="276" w:lineRule="auto"/>
              <w:rPr>
                <w:sz w:val="16"/>
                <w:szCs w:val="16"/>
              </w:rPr>
            </w:pPr>
            <w:r w:rsidRPr="00EB6A0B">
              <w:rPr>
                <w:sz w:val="16"/>
                <w:szCs w:val="16"/>
              </w:rPr>
              <w:t>c. Inventario de bajas practicas a bienes inmuebles</w:t>
            </w:r>
          </w:p>
          <w:p w:rsidR="001A7387" w:rsidRPr="00EB6A0B" w:rsidRDefault="001A7387" w:rsidP="00EB6A0B">
            <w:pPr>
              <w:spacing w:after="200" w:line="276" w:lineRule="auto"/>
              <w:rPr>
                <w:sz w:val="16"/>
                <w:szCs w:val="16"/>
              </w:rPr>
            </w:pPr>
            <w:r w:rsidRPr="00EB6A0B">
              <w:rPr>
                <w:sz w:val="16"/>
                <w:szCs w:val="16"/>
              </w:rPr>
              <w:t>d. inventario de bienes inmuebles</w:t>
            </w:r>
          </w:p>
          <w:p w:rsidR="001A7387" w:rsidRPr="00EB6A0B" w:rsidRDefault="001A7387" w:rsidP="00EB6A0B">
            <w:pPr>
              <w:spacing w:after="200" w:line="276" w:lineRule="auto"/>
              <w:rPr>
                <w:sz w:val="16"/>
                <w:szCs w:val="16"/>
              </w:rPr>
            </w:pPr>
            <w:r w:rsidRPr="00EB6A0B">
              <w:rPr>
                <w:sz w:val="16"/>
                <w:szCs w:val="16"/>
              </w:rPr>
              <w:t>e. Inventario de altas practicadas a bienes inmuebles</w:t>
            </w:r>
          </w:p>
          <w:p w:rsidR="001A7387" w:rsidRPr="00EB6A0B" w:rsidRDefault="001A7387" w:rsidP="00EB6A0B">
            <w:pPr>
              <w:spacing w:after="200" w:line="276" w:lineRule="auto"/>
              <w:rPr>
                <w:sz w:val="16"/>
                <w:szCs w:val="16"/>
              </w:rPr>
            </w:pPr>
            <w:r w:rsidRPr="00EB6A0B">
              <w:rPr>
                <w:sz w:val="16"/>
                <w:szCs w:val="16"/>
              </w:rPr>
              <w:t>f. Inventario de bajas practicadas a bienes inmuebles</w:t>
            </w:r>
          </w:p>
          <w:p w:rsidR="001A7387" w:rsidRPr="00EB6A0B" w:rsidRDefault="001A7387" w:rsidP="00EB6A0B">
            <w:pPr>
              <w:spacing w:after="200" w:line="276" w:lineRule="auto"/>
              <w:rPr>
                <w:sz w:val="16"/>
                <w:szCs w:val="16"/>
              </w:rPr>
            </w:pPr>
            <w:r w:rsidRPr="00EB6A0B">
              <w:rPr>
                <w:sz w:val="16"/>
                <w:szCs w:val="16"/>
              </w:rPr>
              <w:t>g. Inventario de bienes inmuebles e inmuebles donados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XXXV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Recomendaciones emitidas por la Comisión Nacional de Derechos Humanos u organismo público de derechos humanos a la SEGOB.</w:t>
            </w:r>
          </w:p>
          <w:p w:rsidR="001A7387" w:rsidRPr="00EB6A0B" w:rsidRDefault="001A7387" w:rsidP="00EB6A0B">
            <w:pPr>
              <w:spacing w:after="200" w:line="276" w:lineRule="auto"/>
              <w:rPr>
                <w:sz w:val="16"/>
                <w:szCs w:val="16"/>
              </w:rPr>
            </w:pPr>
            <w:r w:rsidRPr="00EB6A0B">
              <w:rPr>
                <w:sz w:val="16"/>
                <w:szCs w:val="16"/>
              </w:rPr>
              <w:t>b. Casos Especiales emitidos por la CNDH u otros organismos de protección de derechos humanos.</w:t>
            </w:r>
          </w:p>
          <w:p w:rsidR="001A7387" w:rsidRPr="00EB6A0B" w:rsidRDefault="001A7387" w:rsidP="00EB6A0B">
            <w:pPr>
              <w:spacing w:after="200" w:line="276" w:lineRule="auto"/>
              <w:rPr>
                <w:sz w:val="16"/>
                <w:szCs w:val="16"/>
              </w:rPr>
            </w:pPr>
            <w:r w:rsidRPr="00EB6A0B">
              <w:rPr>
                <w:sz w:val="16"/>
                <w:szCs w:val="16"/>
              </w:rPr>
              <w:t>c. Recomendaciones emitidas por organismos internacionales a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XXXVI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Las resoluciones y laudos que se emitan en procesos o procedimientos seguidos en forma de juicio;</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p w:rsidR="001A7387" w:rsidRPr="00EB6A0B" w:rsidRDefault="001A7387" w:rsidP="00DE532E">
            <w:pPr>
              <w:spacing w:after="200" w:line="276" w:lineRule="auto"/>
              <w:jc w:val="center"/>
              <w:rPr>
                <w:sz w:val="16"/>
                <w:szCs w:val="16"/>
              </w:rPr>
            </w:pP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XXXVII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Mecanismos de participación  ciudadana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lastRenderedPageBreak/>
              <w:t>XXXVIII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Programas</w:t>
            </w:r>
          </w:p>
          <w:p w:rsidR="001A7387" w:rsidRPr="00EB6A0B" w:rsidRDefault="001A7387" w:rsidP="00EB6A0B">
            <w:pPr>
              <w:spacing w:after="200" w:line="276" w:lineRule="auto"/>
              <w:rPr>
                <w:sz w:val="16"/>
                <w:szCs w:val="16"/>
              </w:rPr>
            </w:pPr>
            <w:r w:rsidRPr="00EB6A0B">
              <w:rPr>
                <w:sz w:val="16"/>
                <w:szCs w:val="16"/>
              </w:rPr>
              <w:t>b. Trámites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054946" w:rsidRPr="00EB6A0B" w:rsidRDefault="00054946"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XXXIX</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Informe de Sesiones del Comité de Transparencia</w:t>
            </w:r>
          </w:p>
          <w:p w:rsidR="001A7387" w:rsidRPr="00EB6A0B" w:rsidRDefault="001A7387" w:rsidP="00EB6A0B">
            <w:pPr>
              <w:spacing w:after="200" w:line="276" w:lineRule="auto"/>
              <w:rPr>
                <w:sz w:val="16"/>
                <w:szCs w:val="16"/>
              </w:rPr>
            </w:pPr>
            <w:r w:rsidRPr="00EB6A0B">
              <w:rPr>
                <w:sz w:val="16"/>
                <w:szCs w:val="16"/>
              </w:rPr>
              <w:t>b. Informe de resoluciones del Comité de Transparencia</w:t>
            </w:r>
          </w:p>
          <w:p w:rsidR="001A7387" w:rsidRPr="00EB6A0B" w:rsidRDefault="001A7387" w:rsidP="00EB6A0B">
            <w:pPr>
              <w:spacing w:after="200" w:line="276" w:lineRule="auto"/>
              <w:rPr>
                <w:sz w:val="16"/>
                <w:szCs w:val="16"/>
              </w:rPr>
            </w:pPr>
            <w:r w:rsidRPr="00EB6A0B">
              <w:rPr>
                <w:sz w:val="16"/>
                <w:szCs w:val="16"/>
              </w:rPr>
              <w:t>c. Integrantes del Comité de Transparencia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XL</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Evaluaciones a programas financiados  con recursos públicos realizadas</w:t>
            </w:r>
          </w:p>
          <w:p w:rsidR="001A7387" w:rsidRPr="00EB6A0B" w:rsidRDefault="001A7387" w:rsidP="00EB6A0B">
            <w:pPr>
              <w:spacing w:after="200" w:line="276" w:lineRule="auto"/>
              <w:rPr>
                <w:sz w:val="16"/>
                <w:szCs w:val="16"/>
              </w:rPr>
            </w:pPr>
            <w:r w:rsidRPr="00EB6A0B">
              <w:rPr>
                <w:sz w:val="16"/>
                <w:szCs w:val="16"/>
              </w:rPr>
              <w:t>b. Encuestas sobre programas financiados  con recursos públicos realizadas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054946" w:rsidRPr="00EB6A0B" w:rsidRDefault="00054946"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XLI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Estudios financiados con recursos públicos Catalogo 1 Estudios realizados  por la SEGOB, incluyendo aquellos derivados  de la colaboración con instituciones  u organismos públicos en su caso;</w:t>
            </w:r>
          </w:p>
          <w:p w:rsidR="001A7387" w:rsidRPr="00EB6A0B" w:rsidRDefault="001A7387" w:rsidP="00EB6A0B">
            <w:pPr>
              <w:spacing w:after="200" w:line="276" w:lineRule="auto"/>
              <w:rPr>
                <w:sz w:val="16"/>
                <w:szCs w:val="16"/>
              </w:rPr>
            </w:pPr>
            <w:r w:rsidRPr="00EB6A0B">
              <w:rPr>
                <w:sz w:val="16"/>
                <w:szCs w:val="16"/>
              </w:rPr>
              <w:t>b.  Estudios financiados con recursos públicos Catalogo 2 Estudios elaborados en colaboración  con organizaciones de los sectores social y privado, así como con personas físicas públicos</w:t>
            </w:r>
          </w:p>
          <w:p w:rsidR="001A7387" w:rsidRPr="00EB6A0B" w:rsidRDefault="001A7387" w:rsidP="00EB6A0B">
            <w:pPr>
              <w:spacing w:after="200" w:line="276" w:lineRule="auto"/>
              <w:rPr>
                <w:sz w:val="16"/>
                <w:szCs w:val="16"/>
              </w:rPr>
            </w:pPr>
            <w:r w:rsidRPr="00EB6A0B">
              <w:rPr>
                <w:sz w:val="16"/>
                <w:szCs w:val="16"/>
              </w:rPr>
              <w:t>c. casos en que los estudios, investigaciones o análisis elaborados por la SEGOB fueron financiados por otras instituciones de carácter público, las cuales le solicitaron su elaboración.</w:t>
            </w:r>
          </w:p>
        </w:tc>
        <w:tc>
          <w:tcPr>
            <w:tcW w:w="1128" w:type="dxa"/>
            <w:shd w:val="clear" w:color="auto" w:fill="auto"/>
            <w:vAlign w:val="center"/>
          </w:tcPr>
          <w:p w:rsidR="001A7387" w:rsidRPr="00EB6A0B" w:rsidRDefault="001A7387"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p>
          <w:p w:rsidR="00054946" w:rsidRPr="00EB6A0B" w:rsidRDefault="00054946" w:rsidP="00DE532E">
            <w:pPr>
              <w:spacing w:after="200" w:line="276" w:lineRule="auto"/>
              <w:jc w:val="center"/>
              <w:rPr>
                <w:sz w:val="16"/>
                <w:szCs w:val="16"/>
              </w:rPr>
            </w:pPr>
          </w:p>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XLII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El listado de jubilados y pensionados y el monto que reciben;</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XLIII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Los ingresos recibidos por cualquier concepto señalando el nombre de los responsables de recibirlos, administrarlos y ejercerlos, así como su destino, indicando el destino de cada uno de ellos;</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p w:rsidR="001A7387" w:rsidRPr="00EB6A0B" w:rsidRDefault="001A7387" w:rsidP="00DE532E">
            <w:pPr>
              <w:spacing w:after="200" w:line="276" w:lineRule="auto"/>
              <w:jc w:val="center"/>
              <w:rPr>
                <w:sz w:val="16"/>
                <w:szCs w:val="16"/>
              </w:rPr>
            </w:pP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XLIV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donaciones en dinero realizados</w:t>
            </w:r>
          </w:p>
          <w:p w:rsidR="001A7387" w:rsidRPr="00EB6A0B" w:rsidRDefault="001A7387" w:rsidP="00EB6A0B">
            <w:pPr>
              <w:spacing w:after="200" w:line="276" w:lineRule="auto"/>
              <w:rPr>
                <w:sz w:val="16"/>
                <w:szCs w:val="16"/>
              </w:rPr>
            </w:pPr>
            <w:r w:rsidRPr="00EB6A0B">
              <w:rPr>
                <w:sz w:val="16"/>
                <w:szCs w:val="16"/>
              </w:rPr>
              <w:t>b. donaciones en especie realizadas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p w:rsidR="001A7387" w:rsidRPr="00EB6A0B" w:rsidRDefault="001A7387" w:rsidP="00DE532E">
            <w:pPr>
              <w:spacing w:after="200" w:line="276" w:lineRule="auto"/>
              <w:jc w:val="center"/>
              <w:rPr>
                <w:sz w:val="16"/>
                <w:szCs w:val="16"/>
              </w:rPr>
            </w:pPr>
          </w:p>
        </w:tc>
      </w:tr>
      <w:tr w:rsidR="001A7387" w:rsidRPr="001A7387" w:rsidTr="00EB6A0B">
        <w:trPr>
          <w:gridAfter w:val="1"/>
          <w:wAfter w:w="6" w:type="dxa"/>
          <w:trHeight w:val="502"/>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XLV</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Catálogo de disposición documental y guía simple de archivos por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694"/>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XLVI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a. Actas del Consejo Consultivo</w:t>
            </w:r>
          </w:p>
          <w:p w:rsidR="001A7387" w:rsidRPr="00EB6A0B" w:rsidRDefault="001A7387" w:rsidP="00EB6A0B">
            <w:pPr>
              <w:spacing w:after="200" w:line="276" w:lineRule="auto"/>
              <w:rPr>
                <w:sz w:val="16"/>
                <w:szCs w:val="16"/>
              </w:rPr>
            </w:pPr>
            <w:r w:rsidRPr="00EB6A0B">
              <w:rPr>
                <w:sz w:val="16"/>
                <w:szCs w:val="16"/>
              </w:rPr>
              <w:t>b. Opiniones y recomendaciones del Consejo Consultivo</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64"/>
        </w:trPr>
        <w:tc>
          <w:tcPr>
            <w:tcW w:w="849"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XLVII</w:t>
            </w:r>
          </w:p>
        </w:tc>
        <w:tc>
          <w:tcPr>
            <w:tcW w:w="709" w:type="dxa"/>
            <w:shd w:val="clear" w:color="auto" w:fill="auto"/>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Solicitudes de intervención de comunicaciones de la SEGOB.</w:t>
            </w:r>
          </w:p>
        </w:tc>
        <w:tc>
          <w:tcPr>
            <w:tcW w:w="1128" w:type="dxa"/>
            <w:shd w:val="clear" w:color="auto" w:fill="auto"/>
            <w:vAlign w:val="center"/>
          </w:tcPr>
          <w:p w:rsidR="001A7387" w:rsidRPr="00EB6A0B" w:rsidRDefault="001A7387" w:rsidP="00DE532E">
            <w:pPr>
              <w:spacing w:after="200" w:line="276" w:lineRule="auto"/>
              <w:jc w:val="center"/>
              <w:rPr>
                <w:sz w:val="16"/>
                <w:szCs w:val="16"/>
              </w:rPr>
            </w:pPr>
            <w:r w:rsidRPr="00EB6A0B">
              <w:rPr>
                <w:sz w:val="16"/>
                <w:szCs w:val="16"/>
              </w:rPr>
              <w:t>No Aplica</w:t>
            </w:r>
          </w:p>
        </w:tc>
      </w:tr>
      <w:tr w:rsidR="001A7387" w:rsidRPr="001A7387" w:rsidTr="00EB6A0B">
        <w:trPr>
          <w:gridAfter w:val="1"/>
          <w:wAfter w:w="6" w:type="dxa"/>
          <w:trHeight w:val="502"/>
        </w:trPr>
        <w:tc>
          <w:tcPr>
            <w:tcW w:w="849" w:type="dxa"/>
            <w:vAlign w:val="center"/>
          </w:tcPr>
          <w:p w:rsidR="001A7387" w:rsidRPr="00EB6A0B" w:rsidRDefault="001A7387" w:rsidP="00DE532E">
            <w:pPr>
              <w:spacing w:after="200" w:line="276" w:lineRule="auto"/>
              <w:jc w:val="center"/>
              <w:rPr>
                <w:sz w:val="16"/>
                <w:szCs w:val="16"/>
              </w:rPr>
            </w:pPr>
            <w:r w:rsidRPr="00EB6A0B">
              <w:rPr>
                <w:sz w:val="16"/>
                <w:szCs w:val="16"/>
              </w:rPr>
              <w:t>XLVIII</w:t>
            </w:r>
          </w:p>
        </w:tc>
        <w:tc>
          <w:tcPr>
            <w:tcW w:w="709" w:type="dxa"/>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iCs/>
                <w:sz w:val="16"/>
                <w:szCs w:val="16"/>
              </w:rPr>
              <w:t>Padrón de inspectores, visitadores o supervisores</w:t>
            </w:r>
          </w:p>
        </w:tc>
        <w:tc>
          <w:tcPr>
            <w:tcW w:w="1128" w:type="dxa"/>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607"/>
        </w:trPr>
        <w:tc>
          <w:tcPr>
            <w:tcW w:w="849" w:type="dxa"/>
            <w:vAlign w:val="center"/>
          </w:tcPr>
          <w:p w:rsidR="001A7387" w:rsidRPr="00EB6A0B" w:rsidRDefault="001A7387" w:rsidP="00DE532E">
            <w:pPr>
              <w:spacing w:after="200" w:line="276" w:lineRule="auto"/>
              <w:jc w:val="center"/>
              <w:rPr>
                <w:sz w:val="16"/>
                <w:szCs w:val="16"/>
              </w:rPr>
            </w:pPr>
            <w:r w:rsidRPr="00EB6A0B">
              <w:rPr>
                <w:sz w:val="16"/>
                <w:szCs w:val="16"/>
              </w:rPr>
              <w:t>XLIX</w:t>
            </w:r>
          </w:p>
        </w:tc>
        <w:tc>
          <w:tcPr>
            <w:tcW w:w="709" w:type="dxa"/>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lang w:val="es-ES"/>
              </w:rPr>
            </w:pPr>
            <w:r w:rsidRPr="00EB6A0B">
              <w:rPr>
                <w:iCs/>
                <w:sz w:val="16"/>
                <w:szCs w:val="16"/>
              </w:rPr>
              <w:t>Mecanismos de presentación directa de peticiones, opiniones, quejas, denuncias o sugerencias</w:t>
            </w:r>
          </w:p>
        </w:tc>
        <w:tc>
          <w:tcPr>
            <w:tcW w:w="1128" w:type="dxa"/>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EB6A0B">
        <w:trPr>
          <w:gridAfter w:val="1"/>
          <w:wAfter w:w="6" w:type="dxa"/>
          <w:trHeight w:val="502"/>
        </w:trPr>
        <w:tc>
          <w:tcPr>
            <w:tcW w:w="849" w:type="dxa"/>
            <w:vAlign w:val="center"/>
          </w:tcPr>
          <w:p w:rsidR="001A7387" w:rsidRPr="00EB6A0B" w:rsidRDefault="001A7387" w:rsidP="00DE532E">
            <w:pPr>
              <w:spacing w:after="200" w:line="276" w:lineRule="auto"/>
              <w:jc w:val="center"/>
              <w:rPr>
                <w:sz w:val="16"/>
                <w:szCs w:val="16"/>
              </w:rPr>
            </w:pPr>
            <w:r w:rsidRPr="00EB6A0B">
              <w:rPr>
                <w:sz w:val="16"/>
                <w:szCs w:val="16"/>
              </w:rPr>
              <w:t>L</w:t>
            </w:r>
          </w:p>
        </w:tc>
        <w:tc>
          <w:tcPr>
            <w:tcW w:w="709" w:type="dxa"/>
            <w:vAlign w:val="center"/>
          </w:tcPr>
          <w:p w:rsidR="001A7387" w:rsidRPr="00EB6A0B" w:rsidRDefault="001A7387" w:rsidP="00EB6A0B">
            <w:pPr>
              <w:spacing w:after="200" w:line="276" w:lineRule="auto"/>
              <w:rPr>
                <w:sz w:val="16"/>
                <w:szCs w:val="16"/>
              </w:rPr>
            </w:pPr>
          </w:p>
        </w:tc>
        <w:tc>
          <w:tcPr>
            <w:tcW w:w="5383" w:type="dxa"/>
            <w:vAlign w:val="center"/>
          </w:tcPr>
          <w:p w:rsidR="001A7387" w:rsidRPr="00EB6A0B" w:rsidRDefault="001A7387" w:rsidP="00EB6A0B">
            <w:pPr>
              <w:spacing w:after="200" w:line="276" w:lineRule="auto"/>
              <w:rPr>
                <w:sz w:val="16"/>
                <w:szCs w:val="16"/>
              </w:rPr>
            </w:pPr>
            <w:r w:rsidRPr="00EB6A0B">
              <w:rPr>
                <w:sz w:val="16"/>
                <w:szCs w:val="16"/>
              </w:rPr>
              <w:t>Otra información de interés público de la SEGOB.</w:t>
            </w:r>
          </w:p>
        </w:tc>
        <w:tc>
          <w:tcPr>
            <w:tcW w:w="1128" w:type="dxa"/>
            <w:vAlign w:val="center"/>
          </w:tcPr>
          <w:p w:rsidR="001A7387" w:rsidRPr="00EB6A0B" w:rsidRDefault="001A7387" w:rsidP="00DE532E">
            <w:pPr>
              <w:spacing w:after="200" w:line="276" w:lineRule="auto"/>
              <w:jc w:val="center"/>
              <w:rPr>
                <w:sz w:val="16"/>
                <w:szCs w:val="16"/>
              </w:rPr>
            </w:pPr>
            <w:r w:rsidRPr="00EB6A0B">
              <w:rPr>
                <w:sz w:val="16"/>
                <w:szCs w:val="16"/>
              </w:rPr>
              <w:t>Aplica</w:t>
            </w:r>
          </w:p>
        </w:tc>
      </w:tr>
      <w:tr w:rsidR="001A7387" w:rsidRPr="001A7387" w:rsidTr="001A7387">
        <w:trPr>
          <w:gridAfter w:val="1"/>
          <w:wAfter w:w="6" w:type="dxa"/>
          <w:trHeight w:val="502"/>
        </w:trPr>
        <w:tc>
          <w:tcPr>
            <w:tcW w:w="849" w:type="dxa"/>
            <w:tcBorders>
              <w:top w:val="single" w:sz="4" w:space="0" w:color="auto"/>
              <w:left w:val="nil"/>
              <w:bottom w:val="nil"/>
              <w:right w:val="nil"/>
            </w:tcBorders>
          </w:tcPr>
          <w:p w:rsidR="001A7387" w:rsidRPr="001A7387" w:rsidRDefault="001A7387" w:rsidP="001A7387">
            <w:pPr>
              <w:spacing w:after="200" w:line="276" w:lineRule="auto"/>
              <w:jc w:val="center"/>
              <w:rPr>
                <w:b/>
                <w:sz w:val="16"/>
                <w:szCs w:val="16"/>
              </w:rPr>
            </w:pPr>
          </w:p>
        </w:tc>
        <w:tc>
          <w:tcPr>
            <w:tcW w:w="709" w:type="dxa"/>
            <w:tcBorders>
              <w:top w:val="single" w:sz="4" w:space="0" w:color="auto"/>
              <w:left w:val="nil"/>
              <w:bottom w:val="nil"/>
              <w:right w:val="nil"/>
            </w:tcBorders>
          </w:tcPr>
          <w:p w:rsidR="001A7387" w:rsidRPr="001A7387" w:rsidRDefault="001A7387" w:rsidP="001A7387">
            <w:pPr>
              <w:spacing w:after="200" w:line="276" w:lineRule="auto"/>
              <w:jc w:val="center"/>
              <w:rPr>
                <w:b/>
                <w:sz w:val="16"/>
                <w:szCs w:val="16"/>
              </w:rPr>
            </w:pPr>
          </w:p>
        </w:tc>
        <w:tc>
          <w:tcPr>
            <w:tcW w:w="5383" w:type="dxa"/>
            <w:tcBorders>
              <w:top w:val="single" w:sz="4" w:space="0" w:color="auto"/>
              <w:left w:val="nil"/>
              <w:bottom w:val="nil"/>
              <w:right w:val="nil"/>
            </w:tcBorders>
          </w:tcPr>
          <w:p w:rsidR="001A7387" w:rsidRPr="001A7387" w:rsidRDefault="001A7387" w:rsidP="001A7387">
            <w:pPr>
              <w:spacing w:after="200" w:line="276" w:lineRule="auto"/>
              <w:jc w:val="center"/>
              <w:rPr>
                <w:b/>
                <w:sz w:val="16"/>
                <w:szCs w:val="16"/>
              </w:rPr>
            </w:pPr>
          </w:p>
          <w:p w:rsidR="001A7387" w:rsidRPr="001A7387" w:rsidRDefault="001A7387" w:rsidP="001A7387">
            <w:pPr>
              <w:spacing w:after="200" w:line="276" w:lineRule="auto"/>
              <w:jc w:val="center"/>
              <w:rPr>
                <w:b/>
                <w:sz w:val="16"/>
                <w:szCs w:val="16"/>
              </w:rPr>
            </w:pPr>
          </w:p>
        </w:tc>
        <w:tc>
          <w:tcPr>
            <w:tcW w:w="1128" w:type="dxa"/>
            <w:tcBorders>
              <w:top w:val="single" w:sz="4" w:space="0" w:color="auto"/>
              <w:left w:val="nil"/>
              <w:bottom w:val="nil"/>
              <w:right w:val="nil"/>
            </w:tcBorders>
          </w:tcPr>
          <w:p w:rsidR="001A7387" w:rsidRPr="001A7387" w:rsidRDefault="001A7387" w:rsidP="001A7387">
            <w:pPr>
              <w:spacing w:after="200" w:line="276" w:lineRule="auto"/>
              <w:jc w:val="center"/>
              <w:rPr>
                <w:b/>
                <w:sz w:val="16"/>
                <w:szCs w:val="16"/>
              </w:rPr>
            </w:pPr>
          </w:p>
        </w:tc>
      </w:tr>
      <w:tr w:rsidR="001A7387" w:rsidRPr="001A7387" w:rsidTr="001A7387">
        <w:trPr>
          <w:gridAfter w:val="1"/>
          <w:wAfter w:w="6" w:type="dxa"/>
          <w:trHeight w:val="502"/>
        </w:trPr>
        <w:tc>
          <w:tcPr>
            <w:tcW w:w="8069" w:type="dxa"/>
            <w:gridSpan w:val="4"/>
          </w:tcPr>
          <w:p w:rsidR="001A7387" w:rsidRPr="001A7387" w:rsidRDefault="001A7387" w:rsidP="001A7387">
            <w:pPr>
              <w:spacing w:after="200" w:line="276" w:lineRule="auto"/>
              <w:jc w:val="both"/>
              <w:rPr>
                <w:b/>
                <w:sz w:val="16"/>
                <w:szCs w:val="16"/>
              </w:rPr>
            </w:pPr>
            <w:r w:rsidRPr="001A7387">
              <w:rPr>
                <w:b/>
                <w:sz w:val="16"/>
                <w:szCs w:val="16"/>
              </w:rPr>
              <w:t>ARTÍCULO 93.  Además de lo señalado en el artículo 91 de la Ley de Transparencia y Acceso a la Información Pública del Estado de Quintana Roo, el Poder Ejecutivo</w:t>
            </w:r>
          </w:p>
          <w:p w:rsidR="001A7387" w:rsidRPr="001A7387" w:rsidRDefault="001A7387" w:rsidP="001A7387">
            <w:pPr>
              <w:spacing w:after="200" w:line="276" w:lineRule="auto"/>
              <w:jc w:val="both"/>
              <w:rPr>
                <w:b/>
                <w:sz w:val="16"/>
                <w:szCs w:val="16"/>
              </w:rPr>
            </w:pPr>
            <w:r w:rsidRPr="001A7387">
              <w:rPr>
                <w:b/>
                <w:sz w:val="16"/>
                <w:szCs w:val="16"/>
              </w:rPr>
              <w:t xml:space="preserve"> </w:t>
            </w:r>
            <w:r>
              <w:rPr>
                <w:b/>
                <w:sz w:val="16"/>
                <w:szCs w:val="16"/>
              </w:rPr>
              <w:t>Publicar</w:t>
            </w:r>
            <w:r w:rsidRPr="001A7387">
              <w:rPr>
                <w:b/>
                <w:sz w:val="16"/>
                <w:szCs w:val="16"/>
              </w:rPr>
              <w:t xml:space="preserve"> en Plataforma Nacional, cuales son los rubros que son aplicables a sus portales de internet, con el objeto de que éstos verifiquen y aprueben, de forma fundada y motivada, la relación de fracciones a cada sujeto obligado.</w:t>
            </w:r>
          </w:p>
        </w:tc>
      </w:tr>
      <w:tr w:rsidR="001A7387" w:rsidRPr="001A7387" w:rsidTr="001A7387">
        <w:trPr>
          <w:gridAfter w:val="1"/>
          <w:wAfter w:w="6" w:type="dxa"/>
          <w:trHeight w:val="502"/>
        </w:trPr>
        <w:tc>
          <w:tcPr>
            <w:tcW w:w="849" w:type="dxa"/>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 xml:space="preserve">Fracción </w:t>
            </w:r>
          </w:p>
        </w:tc>
        <w:tc>
          <w:tcPr>
            <w:tcW w:w="709" w:type="dxa"/>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Inciso</w:t>
            </w:r>
          </w:p>
        </w:tc>
        <w:tc>
          <w:tcPr>
            <w:tcW w:w="5383" w:type="dxa"/>
            <w:shd w:val="clear" w:color="auto" w:fill="D9D9D9" w:themeFill="background1" w:themeFillShade="D9"/>
          </w:tcPr>
          <w:p w:rsidR="001A7387" w:rsidRPr="001A7387" w:rsidRDefault="001A7387" w:rsidP="001A7387">
            <w:pPr>
              <w:spacing w:after="200" w:line="276" w:lineRule="auto"/>
              <w:jc w:val="center"/>
              <w:rPr>
                <w:b/>
                <w:sz w:val="16"/>
                <w:szCs w:val="16"/>
              </w:rPr>
            </w:pPr>
            <w:r w:rsidRPr="001A7387">
              <w:rPr>
                <w:b/>
                <w:sz w:val="16"/>
                <w:szCs w:val="16"/>
              </w:rPr>
              <w:t>Contenido de la Fracción</w:t>
            </w:r>
          </w:p>
        </w:tc>
        <w:tc>
          <w:tcPr>
            <w:tcW w:w="1128" w:type="dxa"/>
            <w:shd w:val="clear" w:color="auto" w:fill="D9D9D9" w:themeFill="background1" w:themeFillShade="D9"/>
          </w:tcPr>
          <w:p w:rsidR="001A7387" w:rsidRPr="001A7387" w:rsidRDefault="001A7387" w:rsidP="001A7387">
            <w:pPr>
              <w:spacing w:after="200" w:line="276" w:lineRule="auto"/>
              <w:jc w:val="center"/>
              <w:rPr>
                <w:b/>
                <w:sz w:val="16"/>
                <w:szCs w:val="16"/>
              </w:rPr>
            </w:pP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r w:rsidRPr="00EB6A0B">
              <w:rPr>
                <w:sz w:val="16"/>
                <w:szCs w:val="16"/>
              </w:rPr>
              <w:t>I</w:t>
            </w: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a)</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El plan estatal de desarrollo y el plan municipal de desarrollo, según corresponda, incluyendo los estudios, investigaciones y evaluaciones que los respaldan, así como los mecanismos de deliberación pública, participación y consulta ciudadana utilizados, en su caso, en la preparación de los mismos, de conformidad con la ley aplicable;</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b)</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El presupuesto de egresos y las fórmulas de distribución de los recursos otorgados;</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c)</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El listado de expropiaciones decretadas y ejecutadas que incluya, cuando menos, la fecha de expropiación, el domicilio y la causa de utilidad pública y las ocupaciones superficiales;</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d)</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e)</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Los nombres de las personas a quienes se les habilitó para ejercer como notarios públicos, así como sus datos de contacto, la información relacionada con el proceso de otorgamiento de la patente y las sanciones que se les hubieran aplicado;</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f)</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La información detallada que contengan los planes de desarrollo urbano, ordenamiento territorial y ecológico, los tipos y usos de suelo, licencias de uso y construcción otorgadas por los gobiernos municipales;</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g)</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h)</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Las cuotas y tarifas aplicables a impuestos, derechos, contribuciones de mejoras, incluyendo las tablas de valores unitarios de suelo y construcciones, que sirvan de base para el cobro de las contribuciones sobre la propiedad inmobiliaria;</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tcBorders>
              <w:bottom w:val="single" w:sz="4" w:space="0" w:color="auto"/>
            </w:tcBorders>
            <w:vAlign w:val="center"/>
          </w:tcPr>
          <w:p w:rsidR="001A7387" w:rsidRPr="00EB6A0B" w:rsidRDefault="001A7387" w:rsidP="001A7387">
            <w:pPr>
              <w:spacing w:after="200" w:line="276" w:lineRule="auto"/>
              <w:jc w:val="center"/>
              <w:rPr>
                <w:sz w:val="16"/>
                <w:szCs w:val="16"/>
              </w:rPr>
            </w:pPr>
          </w:p>
        </w:tc>
        <w:tc>
          <w:tcPr>
            <w:tcW w:w="709" w:type="dxa"/>
            <w:tcBorders>
              <w:bottom w:val="single" w:sz="4" w:space="0" w:color="auto"/>
            </w:tcBorders>
            <w:vAlign w:val="center"/>
          </w:tcPr>
          <w:p w:rsidR="001A7387" w:rsidRPr="00EB6A0B" w:rsidRDefault="001A7387" w:rsidP="001A7387">
            <w:pPr>
              <w:spacing w:after="200" w:line="276" w:lineRule="auto"/>
              <w:jc w:val="center"/>
              <w:rPr>
                <w:sz w:val="16"/>
                <w:szCs w:val="16"/>
              </w:rPr>
            </w:pPr>
            <w:r w:rsidRPr="00EB6A0B">
              <w:rPr>
                <w:sz w:val="16"/>
                <w:szCs w:val="16"/>
              </w:rPr>
              <w:t>i)</w:t>
            </w:r>
          </w:p>
        </w:tc>
        <w:tc>
          <w:tcPr>
            <w:tcW w:w="5383" w:type="dxa"/>
            <w:tcBorders>
              <w:bottom w:val="single" w:sz="4" w:space="0" w:color="auto"/>
            </w:tcBorders>
            <w:vAlign w:val="center"/>
          </w:tcPr>
          <w:p w:rsidR="001A7387" w:rsidRPr="00EB6A0B" w:rsidRDefault="001A7387" w:rsidP="001A7387">
            <w:pPr>
              <w:spacing w:after="200" w:line="276" w:lineRule="auto"/>
              <w:rPr>
                <w:sz w:val="16"/>
                <w:szCs w:val="16"/>
              </w:rPr>
            </w:pPr>
            <w:r w:rsidRPr="00EB6A0B">
              <w:rPr>
                <w:sz w:val="16"/>
                <w:szCs w:val="16"/>
              </w:rPr>
              <w:t>El calendario con las actividades culturales, deportivas y recreativas a realizar;</w:t>
            </w:r>
          </w:p>
        </w:tc>
        <w:tc>
          <w:tcPr>
            <w:tcW w:w="1128" w:type="dxa"/>
            <w:tcBorders>
              <w:bottom w:val="single" w:sz="4" w:space="0" w:color="auto"/>
            </w:tcBorders>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j)</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Estadísticas de desempeño de los cuerpos policiales y programas de prevención del delito;</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k)</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La información detallada que contengan los programas de medio ambiente estatal y municipal, así como otros documentos relativos a la protección, preservación, aprovechamiento y restauración de los sistemas naturales de la entidad;</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l)</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Inventarios de especies vegetales y animales nativos;</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m)</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Administración y supervisión de las Zonas de Desarrollo Turístico Sustentable en los Municipios del Estado, que sean objeto de convenio o acuerdo con la federación;</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n)</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Clasificación de establecimientos hoteleros y de hospedaje según la regulación vigente, cuando exista convenio con el Estado;</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vAlign w:val="center"/>
          </w:tcPr>
          <w:p w:rsidR="001A7387" w:rsidRPr="00EB6A0B" w:rsidRDefault="001A7387" w:rsidP="001A7387">
            <w:pPr>
              <w:spacing w:after="200" w:line="276" w:lineRule="auto"/>
              <w:jc w:val="center"/>
              <w:rPr>
                <w:sz w:val="16"/>
                <w:szCs w:val="16"/>
              </w:rPr>
            </w:pPr>
          </w:p>
        </w:tc>
        <w:tc>
          <w:tcPr>
            <w:tcW w:w="709" w:type="dxa"/>
            <w:vAlign w:val="center"/>
          </w:tcPr>
          <w:p w:rsidR="001A7387" w:rsidRPr="00EB6A0B" w:rsidRDefault="001A7387" w:rsidP="001A7387">
            <w:pPr>
              <w:spacing w:after="200" w:line="276" w:lineRule="auto"/>
              <w:jc w:val="center"/>
              <w:rPr>
                <w:sz w:val="16"/>
                <w:szCs w:val="16"/>
              </w:rPr>
            </w:pPr>
            <w:r w:rsidRPr="00EB6A0B">
              <w:rPr>
                <w:sz w:val="16"/>
                <w:szCs w:val="16"/>
              </w:rPr>
              <w:t>o)</w:t>
            </w:r>
          </w:p>
        </w:tc>
        <w:tc>
          <w:tcPr>
            <w:tcW w:w="5383" w:type="dxa"/>
            <w:vAlign w:val="center"/>
          </w:tcPr>
          <w:p w:rsidR="001A7387" w:rsidRPr="00EB6A0B" w:rsidRDefault="001A7387" w:rsidP="001A7387">
            <w:pPr>
              <w:spacing w:after="200" w:line="276" w:lineRule="auto"/>
              <w:rPr>
                <w:sz w:val="16"/>
                <w:szCs w:val="16"/>
              </w:rPr>
            </w:pPr>
            <w:r w:rsidRPr="00EB6A0B">
              <w:rPr>
                <w:sz w:val="16"/>
                <w:szCs w:val="16"/>
              </w:rPr>
              <w:t>Mecanismos de turismo accesible que garanticen las oportunidades de uso y disfrute de instalaciones y espacios turísticos a personas con discapacidad, y</w:t>
            </w:r>
          </w:p>
        </w:tc>
        <w:tc>
          <w:tcPr>
            <w:tcW w:w="1128" w:type="dxa"/>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r w:rsidR="001A7387" w:rsidRPr="00EB6A0B" w:rsidTr="00EB6A0B">
        <w:trPr>
          <w:gridAfter w:val="1"/>
          <w:wAfter w:w="6" w:type="dxa"/>
          <w:trHeight w:val="502"/>
        </w:trPr>
        <w:tc>
          <w:tcPr>
            <w:tcW w:w="849" w:type="dxa"/>
            <w:tcBorders>
              <w:bottom w:val="single" w:sz="4" w:space="0" w:color="auto"/>
            </w:tcBorders>
            <w:vAlign w:val="center"/>
          </w:tcPr>
          <w:p w:rsidR="001A7387" w:rsidRPr="00EB6A0B" w:rsidRDefault="001A7387" w:rsidP="001A7387">
            <w:pPr>
              <w:spacing w:after="200" w:line="276" w:lineRule="auto"/>
              <w:jc w:val="center"/>
              <w:rPr>
                <w:sz w:val="16"/>
                <w:szCs w:val="16"/>
              </w:rPr>
            </w:pPr>
          </w:p>
        </w:tc>
        <w:tc>
          <w:tcPr>
            <w:tcW w:w="709" w:type="dxa"/>
            <w:tcBorders>
              <w:bottom w:val="single" w:sz="4" w:space="0" w:color="auto"/>
            </w:tcBorders>
            <w:vAlign w:val="center"/>
          </w:tcPr>
          <w:p w:rsidR="001A7387" w:rsidRPr="00EB6A0B" w:rsidRDefault="001A7387" w:rsidP="001A7387">
            <w:pPr>
              <w:spacing w:after="200" w:line="276" w:lineRule="auto"/>
              <w:jc w:val="center"/>
              <w:rPr>
                <w:sz w:val="16"/>
                <w:szCs w:val="16"/>
              </w:rPr>
            </w:pPr>
            <w:r w:rsidRPr="00EB6A0B">
              <w:rPr>
                <w:sz w:val="16"/>
                <w:szCs w:val="16"/>
              </w:rPr>
              <w:t>p)</w:t>
            </w:r>
          </w:p>
        </w:tc>
        <w:tc>
          <w:tcPr>
            <w:tcW w:w="5383" w:type="dxa"/>
            <w:tcBorders>
              <w:bottom w:val="single" w:sz="4" w:space="0" w:color="auto"/>
            </w:tcBorders>
            <w:vAlign w:val="center"/>
          </w:tcPr>
          <w:p w:rsidR="001A7387" w:rsidRPr="00EB6A0B" w:rsidRDefault="001A7387" w:rsidP="001A7387">
            <w:pPr>
              <w:spacing w:after="200" w:line="276" w:lineRule="auto"/>
              <w:rPr>
                <w:sz w:val="16"/>
                <w:szCs w:val="16"/>
              </w:rPr>
            </w:pPr>
            <w:r w:rsidRPr="00EB6A0B">
              <w:rPr>
                <w:sz w:val="16"/>
                <w:szCs w:val="16"/>
              </w:rPr>
              <w:t>Programas de prevención y atención de emergencias y desastres, de la gestión integral de riesgos conforme a los lineamientos de políticas de protección civil, así como el atlas estatal de riesgos.</w:t>
            </w:r>
          </w:p>
        </w:tc>
        <w:tc>
          <w:tcPr>
            <w:tcW w:w="1128" w:type="dxa"/>
            <w:tcBorders>
              <w:bottom w:val="single" w:sz="4" w:space="0" w:color="auto"/>
            </w:tcBorders>
            <w:vAlign w:val="center"/>
          </w:tcPr>
          <w:p w:rsidR="001A7387" w:rsidRPr="00EB6A0B" w:rsidRDefault="00DE497E" w:rsidP="001A7387">
            <w:pPr>
              <w:spacing w:after="200" w:line="276" w:lineRule="auto"/>
              <w:jc w:val="center"/>
              <w:rPr>
                <w:sz w:val="16"/>
                <w:szCs w:val="16"/>
              </w:rPr>
            </w:pPr>
            <w:r w:rsidRPr="00EB6A0B">
              <w:rPr>
                <w:sz w:val="16"/>
                <w:szCs w:val="16"/>
              </w:rPr>
              <w:t>No Aplica</w:t>
            </w:r>
          </w:p>
        </w:tc>
      </w:tr>
    </w:tbl>
    <w:p w:rsidR="00ED4BAA" w:rsidRPr="00EB6A0B" w:rsidRDefault="00ED4BAA" w:rsidP="001A7387">
      <w:pPr>
        <w:jc w:val="center"/>
      </w:pPr>
    </w:p>
    <w:p w:rsidR="00ED4BAA" w:rsidRPr="00EB6A0B" w:rsidRDefault="00ED4BAA" w:rsidP="00ED4BAA"/>
    <w:p w:rsidR="00C24B8E" w:rsidRPr="00EB6A0B" w:rsidRDefault="00C24B8E" w:rsidP="00ED4BAA"/>
    <w:p w:rsidR="00C24B8E" w:rsidRPr="00EB6A0B" w:rsidRDefault="00C24B8E" w:rsidP="00ED4BAA"/>
    <w:p w:rsidR="00F23D32" w:rsidRPr="00EB6A0B" w:rsidRDefault="00F23D32" w:rsidP="00ED4BAA"/>
    <w:p w:rsidR="00F23D32" w:rsidRPr="00EB6A0B" w:rsidRDefault="00F23D32" w:rsidP="00ED4BAA"/>
    <w:sectPr w:rsidR="00F23D32" w:rsidRPr="00EB6A0B" w:rsidSect="001A7387">
      <w:headerReference w:type="default" r:id="rId8"/>
      <w:footerReference w:type="default" r:id="rId9"/>
      <w:type w:val="continuous"/>
      <w:pgSz w:w="12240" w:h="15840" w:code="1"/>
      <w:pgMar w:top="111" w:right="907" w:bottom="964" w:left="646" w:header="709" w:footer="1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91" w:rsidRDefault="00203B91" w:rsidP="004164F3">
      <w:pPr>
        <w:spacing w:after="0" w:line="240" w:lineRule="auto"/>
      </w:pPr>
      <w:r>
        <w:separator/>
      </w:r>
    </w:p>
  </w:endnote>
  <w:endnote w:type="continuationSeparator" w:id="0">
    <w:p w:rsidR="00203B91" w:rsidRDefault="00203B91" w:rsidP="0041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87" w:rsidRDefault="001A7387">
    <w:pPr>
      <w:pStyle w:val="Piedepgina"/>
    </w:pPr>
    <w:r>
      <w:rPr>
        <w:noProof/>
        <w:lang w:val="es-ES" w:eastAsia="es-ES"/>
      </w:rPr>
      <w:drawing>
        <wp:anchor distT="0" distB="0" distL="114300" distR="114300" simplePos="0" relativeHeight="251659264" behindDoc="0" locked="0" layoutInCell="1" allowOverlap="1" wp14:anchorId="4F23B918" wp14:editId="2880B100">
          <wp:simplePos x="0" y="0"/>
          <wp:positionH relativeFrom="column">
            <wp:posOffset>-359907</wp:posOffset>
          </wp:positionH>
          <wp:positionV relativeFrom="paragraph">
            <wp:posOffset>93649</wp:posOffset>
          </wp:positionV>
          <wp:extent cx="7696835" cy="82804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835" cy="8280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91" w:rsidRDefault="00203B91" w:rsidP="004164F3">
      <w:pPr>
        <w:spacing w:after="0" w:line="240" w:lineRule="auto"/>
      </w:pPr>
      <w:r>
        <w:separator/>
      </w:r>
    </w:p>
  </w:footnote>
  <w:footnote w:type="continuationSeparator" w:id="0">
    <w:p w:rsidR="00203B91" w:rsidRDefault="00203B91" w:rsidP="0041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FA" w:rsidRDefault="00D44496" w:rsidP="001A7387">
    <w:pPr>
      <w:tabs>
        <w:tab w:val="left" w:pos="2124"/>
        <w:tab w:val="left" w:pos="2832"/>
        <w:tab w:val="left" w:pos="12990"/>
      </w:tabs>
    </w:pPr>
    <w:r>
      <w:rPr>
        <w:noProof/>
        <w:lang w:val="es-ES" w:eastAsia="es-ES"/>
      </w:rPr>
      <w:drawing>
        <wp:anchor distT="0" distB="0" distL="114300" distR="114300" simplePos="0" relativeHeight="251658240" behindDoc="0" locked="0" layoutInCell="1" allowOverlap="1" wp14:anchorId="1204B305" wp14:editId="595483CF">
          <wp:simplePos x="0" y="0"/>
          <wp:positionH relativeFrom="column">
            <wp:posOffset>3686506</wp:posOffset>
          </wp:positionH>
          <wp:positionV relativeFrom="paragraph">
            <wp:posOffset>-57785</wp:posOffset>
          </wp:positionV>
          <wp:extent cx="3057525" cy="866775"/>
          <wp:effectExtent l="0" t="0" r="9525" b="952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gob.png"/>
                  <pic:cNvPicPr/>
                </pic:nvPicPr>
                <pic:blipFill>
                  <a:blip r:embed="rId1">
                    <a:extLst>
                      <a:ext uri="{28A0092B-C50C-407E-A947-70E740481C1C}">
                        <a14:useLocalDpi xmlns:a14="http://schemas.microsoft.com/office/drawing/2010/main" val="0"/>
                      </a:ext>
                    </a:extLst>
                  </a:blip>
                  <a:stretch>
                    <a:fillRect/>
                  </a:stretch>
                </pic:blipFill>
                <pic:spPr>
                  <a:xfrm>
                    <a:off x="0" y="0"/>
                    <a:ext cx="3057525" cy="866775"/>
                  </a:xfrm>
                  <a:prstGeom prst="rect">
                    <a:avLst/>
                  </a:prstGeom>
                </pic:spPr>
              </pic:pic>
            </a:graphicData>
          </a:graphic>
          <wp14:sizeRelH relativeFrom="page">
            <wp14:pctWidth>0</wp14:pctWidth>
          </wp14:sizeRelH>
          <wp14:sizeRelV relativeFrom="page">
            <wp14:pctHeight>0</wp14:pctHeight>
          </wp14:sizeRelV>
        </wp:anchor>
      </w:drawing>
    </w:r>
    <w:r w:rsidR="008B59F3">
      <w:rPr>
        <w:noProof/>
        <w:lang w:val="es-ES" w:eastAsia="es-ES"/>
      </w:rPr>
      <w:drawing>
        <wp:inline distT="0" distB="0" distL="0" distR="0" wp14:anchorId="1A51707F" wp14:editId="415578E0">
          <wp:extent cx="1009791" cy="866896"/>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R.png"/>
                  <pic:cNvPicPr/>
                </pic:nvPicPr>
                <pic:blipFill>
                  <a:blip r:embed="rId2">
                    <a:extLst>
                      <a:ext uri="{28A0092B-C50C-407E-A947-70E740481C1C}">
                        <a14:useLocalDpi xmlns:a14="http://schemas.microsoft.com/office/drawing/2010/main" val="0"/>
                      </a:ext>
                    </a:extLst>
                  </a:blip>
                  <a:stretch>
                    <a:fillRect/>
                  </a:stretch>
                </pic:blipFill>
                <pic:spPr>
                  <a:xfrm>
                    <a:off x="0" y="0"/>
                    <a:ext cx="1009791" cy="8668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2B51"/>
    <w:multiLevelType w:val="hybridMultilevel"/>
    <w:tmpl w:val="6826FF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C4"/>
    <w:rsid w:val="00006DAD"/>
    <w:rsid w:val="00007C1C"/>
    <w:rsid w:val="00017BC4"/>
    <w:rsid w:val="00024C86"/>
    <w:rsid w:val="00027D7C"/>
    <w:rsid w:val="00032F3C"/>
    <w:rsid w:val="00050C47"/>
    <w:rsid w:val="00054946"/>
    <w:rsid w:val="0006605A"/>
    <w:rsid w:val="00073125"/>
    <w:rsid w:val="000B2331"/>
    <w:rsid w:val="000B43E0"/>
    <w:rsid w:val="000B6A57"/>
    <w:rsid w:val="000D2EC4"/>
    <w:rsid w:val="00100CFA"/>
    <w:rsid w:val="001048B0"/>
    <w:rsid w:val="00122176"/>
    <w:rsid w:val="00124FC5"/>
    <w:rsid w:val="00130FEA"/>
    <w:rsid w:val="001326B2"/>
    <w:rsid w:val="00137492"/>
    <w:rsid w:val="0016633B"/>
    <w:rsid w:val="00184076"/>
    <w:rsid w:val="001A7387"/>
    <w:rsid w:val="001C0EDE"/>
    <w:rsid w:val="001D4D08"/>
    <w:rsid w:val="001E77D2"/>
    <w:rsid w:val="00203B91"/>
    <w:rsid w:val="00213B4E"/>
    <w:rsid w:val="00214184"/>
    <w:rsid w:val="00215097"/>
    <w:rsid w:val="00215394"/>
    <w:rsid w:val="00217B6F"/>
    <w:rsid w:val="00217C4E"/>
    <w:rsid w:val="00224770"/>
    <w:rsid w:val="00253311"/>
    <w:rsid w:val="00253D73"/>
    <w:rsid w:val="00282B2D"/>
    <w:rsid w:val="00295795"/>
    <w:rsid w:val="002B4A45"/>
    <w:rsid w:val="002C0DE1"/>
    <w:rsid w:val="002E39BC"/>
    <w:rsid w:val="002E43A5"/>
    <w:rsid w:val="002F08D2"/>
    <w:rsid w:val="00300CE8"/>
    <w:rsid w:val="0033219A"/>
    <w:rsid w:val="003445BF"/>
    <w:rsid w:val="0037565D"/>
    <w:rsid w:val="00382A62"/>
    <w:rsid w:val="00386F8B"/>
    <w:rsid w:val="00394494"/>
    <w:rsid w:val="003972D3"/>
    <w:rsid w:val="003D08C8"/>
    <w:rsid w:val="003E1622"/>
    <w:rsid w:val="003E42BE"/>
    <w:rsid w:val="003F6E25"/>
    <w:rsid w:val="00403763"/>
    <w:rsid w:val="004164F3"/>
    <w:rsid w:val="0044084C"/>
    <w:rsid w:val="00445226"/>
    <w:rsid w:val="00450D25"/>
    <w:rsid w:val="00453529"/>
    <w:rsid w:val="00462F91"/>
    <w:rsid w:val="004949F5"/>
    <w:rsid w:val="004C1711"/>
    <w:rsid w:val="004C5A1F"/>
    <w:rsid w:val="00501DD6"/>
    <w:rsid w:val="005313EC"/>
    <w:rsid w:val="00534E4E"/>
    <w:rsid w:val="005420CB"/>
    <w:rsid w:val="00555EEF"/>
    <w:rsid w:val="00561E7F"/>
    <w:rsid w:val="00567F9B"/>
    <w:rsid w:val="005751F4"/>
    <w:rsid w:val="00593ECC"/>
    <w:rsid w:val="00596D9B"/>
    <w:rsid w:val="005B0BC7"/>
    <w:rsid w:val="005D548C"/>
    <w:rsid w:val="0066064C"/>
    <w:rsid w:val="00664F1A"/>
    <w:rsid w:val="0067286F"/>
    <w:rsid w:val="006A1806"/>
    <w:rsid w:val="006C66C4"/>
    <w:rsid w:val="006D4960"/>
    <w:rsid w:val="006F244A"/>
    <w:rsid w:val="006F2957"/>
    <w:rsid w:val="007018F4"/>
    <w:rsid w:val="0072172E"/>
    <w:rsid w:val="00730394"/>
    <w:rsid w:val="007546C6"/>
    <w:rsid w:val="00756E18"/>
    <w:rsid w:val="00757780"/>
    <w:rsid w:val="007955C9"/>
    <w:rsid w:val="007A1F87"/>
    <w:rsid w:val="007B36B5"/>
    <w:rsid w:val="007C5F15"/>
    <w:rsid w:val="007D69CF"/>
    <w:rsid w:val="007D7F87"/>
    <w:rsid w:val="007E27FC"/>
    <w:rsid w:val="00830366"/>
    <w:rsid w:val="00851B6F"/>
    <w:rsid w:val="00856DD3"/>
    <w:rsid w:val="00861E1F"/>
    <w:rsid w:val="0086685D"/>
    <w:rsid w:val="0087308F"/>
    <w:rsid w:val="00874022"/>
    <w:rsid w:val="00874560"/>
    <w:rsid w:val="00874A85"/>
    <w:rsid w:val="00883C3C"/>
    <w:rsid w:val="0088619A"/>
    <w:rsid w:val="00893ADD"/>
    <w:rsid w:val="00895B2C"/>
    <w:rsid w:val="008B59F3"/>
    <w:rsid w:val="008B68EE"/>
    <w:rsid w:val="008C42BE"/>
    <w:rsid w:val="008C7EC6"/>
    <w:rsid w:val="008D0877"/>
    <w:rsid w:val="008D5EA4"/>
    <w:rsid w:val="00911072"/>
    <w:rsid w:val="0091506E"/>
    <w:rsid w:val="00917EE5"/>
    <w:rsid w:val="0092023E"/>
    <w:rsid w:val="00921DB0"/>
    <w:rsid w:val="00945673"/>
    <w:rsid w:val="0094588B"/>
    <w:rsid w:val="00952D90"/>
    <w:rsid w:val="009541BD"/>
    <w:rsid w:val="00970BF3"/>
    <w:rsid w:val="009833C8"/>
    <w:rsid w:val="00983842"/>
    <w:rsid w:val="00986416"/>
    <w:rsid w:val="009A5AD8"/>
    <w:rsid w:val="009A6622"/>
    <w:rsid w:val="009B25BF"/>
    <w:rsid w:val="009D34E6"/>
    <w:rsid w:val="009E34F7"/>
    <w:rsid w:val="009E5468"/>
    <w:rsid w:val="00A13049"/>
    <w:rsid w:val="00A265A0"/>
    <w:rsid w:val="00A272F3"/>
    <w:rsid w:val="00A30CFA"/>
    <w:rsid w:val="00A4122A"/>
    <w:rsid w:val="00A42D2B"/>
    <w:rsid w:val="00A44BBE"/>
    <w:rsid w:val="00A47AC4"/>
    <w:rsid w:val="00A62681"/>
    <w:rsid w:val="00A674A1"/>
    <w:rsid w:val="00AB62DB"/>
    <w:rsid w:val="00AC4A65"/>
    <w:rsid w:val="00B017DE"/>
    <w:rsid w:val="00B022D3"/>
    <w:rsid w:val="00B231CA"/>
    <w:rsid w:val="00B34DCC"/>
    <w:rsid w:val="00B61590"/>
    <w:rsid w:val="00B76038"/>
    <w:rsid w:val="00B80334"/>
    <w:rsid w:val="00B87CC8"/>
    <w:rsid w:val="00B903C7"/>
    <w:rsid w:val="00BA7D0F"/>
    <w:rsid w:val="00BB0E6F"/>
    <w:rsid w:val="00BB3422"/>
    <w:rsid w:val="00BB3A54"/>
    <w:rsid w:val="00BC4714"/>
    <w:rsid w:val="00BD2256"/>
    <w:rsid w:val="00BD2E0E"/>
    <w:rsid w:val="00C00BAF"/>
    <w:rsid w:val="00C00E9B"/>
    <w:rsid w:val="00C022B5"/>
    <w:rsid w:val="00C0709B"/>
    <w:rsid w:val="00C23EB8"/>
    <w:rsid w:val="00C24B8E"/>
    <w:rsid w:val="00C315DF"/>
    <w:rsid w:val="00C5713C"/>
    <w:rsid w:val="00C61C15"/>
    <w:rsid w:val="00C73986"/>
    <w:rsid w:val="00C74CBA"/>
    <w:rsid w:val="00CA42D8"/>
    <w:rsid w:val="00CA554A"/>
    <w:rsid w:val="00CC4FAE"/>
    <w:rsid w:val="00CD1566"/>
    <w:rsid w:val="00CD655F"/>
    <w:rsid w:val="00CF2F5B"/>
    <w:rsid w:val="00D0702E"/>
    <w:rsid w:val="00D44496"/>
    <w:rsid w:val="00D50F4E"/>
    <w:rsid w:val="00D5703B"/>
    <w:rsid w:val="00D60208"/>
    <w:rsid w:val="00D80984"/>
    <w:rsid w:val="00D87913"/>
    <w:rsid w:val="00D93AC3"/>
    <w:rsid w:val="00DB2FF2"/>
    <w:rsid w:val="00DB47F2"/>
    <w:rsid w:val="00DC6260"/>
    <w:rsid w:val="00DC6E56"/>
    <w:rsid w:val="00DE497E"/>
    <w:rsid w:val="00DE532E"/>
    <w:rsid w:val="00DE5B97"/>
    <w:rsid w:val="00E0014D"/>
    <w:rsid w:val="00E11EB8"/>
    <w:rsid w:val="00E13BE6"/>
    <w:rsid w:val="00E2096C"/>
    <w:rsid w:val="00E229F6"/>
    <w:rsid w:val="00E320FE"/>
    <w:rsid w:val="00E567F0"/>
    <w:rsid w:val="00E620F4"/>
    <w:rsid w:val="00E669B3"/>
    <w:rsid w:val="00E6722A"/>
    <w:rsid w:val="00E703EC"/>
    <w:rsid w:val="00E97C2B"/>
    <w:rsid w:val="00EA3927"/>
    <w:rsid w:val="00EB4B49"/>
    <w:rsid w:val="00EB56A5"/>
    <w:rsid w:val="00EB6A0B"/>
    <w:rsid w:val="00EC1A37"/>
    <w:rsid w:val="00ED4BAA"/>
    <w:rsid w:val="00EE7551"/>
    <w:rsid w:val="00EF652B"/>
    <w:rsid w:val="00F23D32"/>
    <w:rsid w:val="00F71D90"/>
    <w:rsid w:val="00F776A9"/>
    <w:rsid w:val="00FA0722"/>
    <w:rsid w:val="00FC6D8B"/>
    <w:rsid w:val="00FD060B"/>
    <w:rsid w:val="00FE2044"/>
    <w:rsid w:val="00FF7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B5061-B6B9-423A-8029-3FF02D6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0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0722"/>
    <w:rPr>
      <w:rFonts w:ascii="Segoe UI" w:hAnsi="Segoe UI" w:cs="Segoe UI"/>
      <w:sz w:val="18"/>
      <w:szCs w:val="18"/>
    </w:rPr>
  </w:style>
  <w:style w:type="paragraph" w:styleId="Prrafodelista">
    <w:name w:val="List Paragraph"/>
    <w:basedOn w:val="Normal"/>
    <w:uiPriority w:val="34"/>
    <w:qFormat/>
    <w:rsid w:val="00DB2FF2"/>
    <w:pPr>
      <w:ind w:left="720"/>
      <w:contextualSpacing/>
    </w:pPr>
  </w:style>
  <w:style w:type="paragraph" w:styleId="Encabezado">
    <w:name w:val="header"/>
    <w:basedOn w:val="Normal"/>
    <w:link w:val="EncabezadoCar"/>
    <w:uiPriority w:val="99"/>
    <w:unhideWhenUsed/>
    <w:rsid w:val="00416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64F3"/>
  </w:style>
  <w:style w:type="paragraph" w:styleId="Piedepgina">
    <w:name w:val="footer"/>
    <w:basedOn w:val="Normal"/>
    <w:link w:val="PiedepginaCar"/>
    <w:uiPriority w:val="99"/>
    <w:unhideWhenUsed/>
    <w:rsid w:val="00416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64F3"/>
  </w:style>
  <w:style w:type="paragraph" w:styleId="NormalWeb">
    <w:name w:val="Normal (Web)"/>
    <w:basedOn w:val="Normal"/>
    <w:uiPriority w:val="99"/>
    <w:unhideWhenUsed/>
    <w:rsid w:val="00D8791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D87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A12B-6EE8-4D9F-A414-AAD94BDC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nidia</cp:lastModifiedBy>
  <cp:revision>23</cp:revision>
  <cp:lastPrinted>2016-11-28T13:55:00Z</cp:lastPrinted>
  <dcterms:created xsi:type="dcterms:W3CDTF">2017-05-15T06:34:00Z</dcterms:created>
  <dcterms:modified xsi:type="dcterms:W3CDTF">2017-06-22T09:15:00Z</dcterms:modified>
</cp:coreProperties>
</file>